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E1532" w14:textId="4647B4EF" w:rsidR="00AB1A82" w:rsidRPr="00E04895" w:rsidRDefault="00AB1A82" w:rsidP="00E04895">
      <w:pPr>
        <w:pStyle w:val="BodyText"/>
        <w:rPr>
          <w:b/>
          <w:bCs/>
        </w:rPr>
      </w:pPr>
      <w:r w:rsidRPr="00E04895">
        <w:rPr>
          <w:b/>
          <w:bCs/>
        </w:rPr>
        <w:t>Generalized Linear Models</w:t>
      </w:r>
    </w:p>
    <w:p w14:paraId="3E29AA4B" w14:textId="2843242C" w:rsidR="00E04895" w:rsidRDefault="00E04895" w:rsidP="00E04895">
      <w:pPr>
        <w:pStyle w:val="BodyText"/>
      </w:pPr>
      <w:r>
        <w:t>The following algorithm description comes directly from the "</w:t>
      </w:r>
      <w:r w:rsidRPr="00E04895">
        <w:t>Generalized Linear Models</w:t>
      </w:r>
      <w:r>
        <w:t xml:space="preserve">" section in H2O.ai's </w:t>
      </w:r>
      <w:r w:rsidRPr="00E04895">
        <w:t>Generalized Linear Modeling with H2O</w:t>
      </w:r>
      <w:r>
        <w:t xml:space="preserve"> Booklet</w:t>
      </w:r>
      <w:r>
        <w:rPr>
          <w:rStyle w:val="FootnoteReference"/>
        </w:rPr>
        <w:t xml:space="preserve"> </w:t>
      </w:r>
      <w:r>
        <w:t>(</w:t>
      </w:r>
      <w:proofErr w:type="spellStart"/>
      <w:r w:rsidR="008E398B" w:rsidRPr="008E398B">
        <w:t>Nykodym</w:t>
      </w:r>
      <w:proofErr w:type="spellEnd"/>
      <w:r w:rsidR="008E398B">
        <w:t xml:space="preserve"> </w:t>
      </w:r>
      <w:r>
        <w:t>et al. 9-10)</w:t>
      </w:r>
      <w:r>
        <w:t>:</w:t>
      </w:r>
      <w:r w:rsidRPr="00DC6B95">
        <w:t xml:space="preserve"> </w:t>
      </w:r>
    </w:p>
    <w:p w14:paraId="3D1952BA" w14:textId="58757728" w:rsidR="00A46590" w:rsidRPr="00E04895" w:rsidRDefault="00A46590" w:rsidP="00E04895">
      <w:pPr>
        <w:pStyle w:val="BodyText"/>
        <w:rPr>
          <w:i/>
          <w:iCs/>
        </w:rPr>
      </w:pPr>
      <w:r w:rsidRPr="00E04895">
        <w:rPr>
          <w:i/>
          <w:iCs/>
        </w:rPr>
        <w:t>Generalized linear models (GLMs) are an extension of traditional linear models.</w:t>
      </w:r>
      <w:r w:rsidR="00E04895" w:rsidRPr="00E04895">
        <w:rPr>
          <w:i/>
          <w:iCs/>
        </w:rPr>
        <w:t xml:space="preserve"> </w:t>
      </w:r>
      <w:r w:rsidRPr="00E04895">
        <w:rPr>
          <w:i/>
          <w:iCs/>
        </w:rPr>
        <w:t>They have gained popularity in statistical data analysis due to the</w:t>
      </w:r>
      <w:r w:rsidR="00E04895" w:rsidRPr="00E04895">
        <w:rPr>
          <w:i/>
          <w:iCs/>
        </w:rPr>
        <w:t xml:space="preserve"> </w:t>
      </w:r>
      <w:r w:rsidRPr="00E04895">
        <w:rPr>
          <w:i/>
          <w:iCs/>
        </w:rPr>
        <w:t>flexibility of the model structure unifying the typical regression methods</w:t>
      </w:r>
      <w:r w:rsidR="00E04895" w:rsidRPr="00E04895">
        <w:rPr>
          <w:i/>
          <w:iCs/>
        </w:rPr>
        <w:t xml:space="preserve"> </w:t>
      </w:r>
      <w:r w:rsidRPr="00E04895">
        <w:rPr>
          <w:i/>
          <w:iCs/>
        </w:rPr>
        <w:t>(such as linear regression and logistic regression for</w:t>
      </w:r>
      <w:r w:rsidR="00E04895" w:rsidRPr="00E04895">
        <w:rPr>
          <w:i/>
          <w:iCs/>
        </w:rPr>
        <w:t xml:space="preserve"> </w:t>
      </w:r>
      <w:r w:rsidRPr="00E04895">
        <w:rPr>
          <w:i/>
          <w:iCs/>
        </w:rPr>
        <w:t>binary classification), the recent availability of model-fitting software, and the ability to scale</w:t>
      </w:r>
      <w:r w:rsidR="00E04895" w:rsidRPr="00E04895">
        <w:rPr>
          <w:i/>
          <w:iCs/>
        </w:rPr>
        <w:t xml:space="preserve"> </w:t>
      </w:r>
      <w:r w:rsidRPr="00E04895">
        <w:rPr>
          <w:i/>
          <w:iCs/>
        </w:rPr>
        <w:t>well with large datasets.</w:t>
      </w:r>
    </w:p>
    <w:p w14:paraId="5EF8D9D9" w14:textId="77777777" w:rsidR="00E04895" w:rsidRDefault="00E04895" w:rsidP="00E04895">
      <w:pPr>
        <w:pStyle w:val="BodyText"/>
        <w:rPr>
          <w:b/>
          <w:bCs/>
          <w:i/>
          <w:iCs/>
        </w:rPr>
      </w:pPr>
    </w:p>
    <w:p w14:paraId="5F77AF83" w14:textId="3076F745" w:rsidR="00AB1A82" w:rsidRPr="00E04895" w:rsidRDefault="00AB1A82" w:rsidP="00E04895">
      <w:pPr>
        <w:pStyle w:val="BodyText"/>
        <w:rPr>
          <w:b/>
          <w:bCs/>
          <w:i/>
          <w:iCs/>
        </w:rPr>
      </w:pPr>
      <w:r w:rsidRPr="00E04895">
        <w:rPr>
          <w:b/>
          <w:bCs/>
          <w:i/>
          <w:iCs/>
        </w:rPr>
        <w:t>Model Components</w:t>
      </w:r>
    </w:p>
    <w:p w14:paraId="65260521" w14:textId="6C42405F" w:rsidR="00AB1A82" w:rsidRPr="00E04895" w:rsidRDefault="00A46590" w:rsidP="00E04895">
      <w:pPr>
        <w:pStyle w:val="BodyText"/>
        <w:rPr>
          <w:i/>
          <w:iCs/>
        </w:rPr>
      </w:pPr>
      <w:r w:rsidRPr="00E04895">
        <w:rPr>
          <w:i/>
          <w:iCs/>
        </w:rPr>
        <w:t>The estimation of the model is obtained by maximizing the log-likelihood over</w:t>
      </w:r>
      <w:r w:rsidR="00E04895" w:rsidRPr="00E04895">
        <w:rPr>
          <w:i/>
          <w:iCs/>
        </w:rPr>
        <w:t xml:space="preserve"> </w:t>
      </w:r>
      <w:r w:rsidRPr="00E04895">
        <w:rPr>
          <w:i/>
          <w:iCs/>
        </w:rPr>
        <w:t xml:space="preserve">the parameter vector </w:t>
      </w:r>
      <m:oMath>
        <m:r>
          <w:rPr>
            <w:rFonts w:ascii="Cambria Math" w:hAnsi="Cambria Math"/>
          </w:rPr>
          <m:t>β</m:t>
        </m:r>
      </m:oMath>
      <w:r w:rsidR="00AB1A82" w:rsidRPr="00E04895">
        <w:rPr>
          <w:i/>
          <w:iCs/>
        </w:rPr>
        <w:t xml:space="preserve"> for the observed data:</w:t>
      </w:r>
    </w:p>
    <w:p w14:paraId="0EA7BB1E" w14:textId="1CB1CC2F" w:rsidR="00AB1A82" w:rsidRPr="00E04895" w:rsidRDefault="008E398B" w:rsidP="00E04895">
      <w:pPr>
        <w:pStyle w:val="BodyText"/>
        <w:rPr>
          <w:i/>
          <w:iCs/>
        </w:rPr>
      </w:pPr>
      <m:oMathPara>
        <m:oMath>
          <m:func>
            <m:funcPr>
              <m:ctrlPr>
                <w:rPr>
                  <w:rFonts w:ascii="Cambria Math" w:hAnsi="Cambria Math"/>
                  <w:i/>
                  <w:iCs/>
                </w:rPr>
              </m:ctrlPr>
            </m:funcPr>
            <m:fName>
              <m:limLow>
                <m:limLowPr>
                  <m:ctrlPr>
                    <w:rPr>
                      <w:rFonts w:ascii="Cambria Math" w:hAnsi="Cambria Math"/>
                      <w:i/>
                      <w:iCs/>
                    </w:rPr>
                  </m:ctrlPr>
                </m:limLowPr>
                <m:e>
                  <m:r>
                    <w:rPr>
                      <w:rFonts w:ascii="Cambria Math" w:hAnsi="Cambria Math"/>
                    </w:rPr>
                    <m:t>max</m:t>
                  </m:r>
                </m:e>
                <m:lim>
                  <m:r>
                    <w:rPr>
                      <w:rFonts w:ascii="Cambria Math" w:hAnsi="Cambria Math"/>
                    </w:rPr>
                    <m:t>β</m:t>
                  </m:r>
                </m:lim>
              </m:limLow>
            </m:fName>
            <m:e>
              <m:r>
                <m:rPr>
                  <m:nor/>
                </m:rPr>
                <w:rPr>
                  <w:i/>
                  <w:iCs/>
                </w:rPr>
                <m:t xml:space="preserve"> ( GLM Log-likelihood)</m:t>
              </m:r>
            </m:e>
          </m:func>
        </m:oMath>
      </m:oMathPara>
    </w:p>
    <w:p w14:paraId="1B4A532E" w14:textId="6E88A9A5" w:rsidR="008B0727" w:rsidRPr="00E04895" w:rsidRDefault="00AB1A82" w:rsidP="00E04895">
      <w:pPr>
        <w:pStyle w:val="BodyText"/>
        <w:rPr>
          <w:i/>
          <w:iCs/>
        </w:rPr>
      </w:pPr>
      <w:r w:rsidRPr="00E04895">
        <w:rPr>
          <w:i/>
          <w:iCs/>
        </w:rPr>
        <w:t xml:space="preserve">In the familiar linear regression setup, the independent observations vector </w:t>
      </w:r>
      <m:oMath>
        <m:r>
          <w:rPr>
            <w:rFonts w:ascii="Cambria Math" w:hAnsi="Cambria Math"/>
          </w:rPr>
          <m:t>y</m:t>
        </m:r>
      </m:oMath>
      <w:r w:rsidRPr="00E04895">
        <w:rPr>
          <w:i/>
          <w:iCs/>
        </w:rPr>
        <w:t xml:space="preserve"> is</w:t>
      </w:r>
      <w:r w:rsidR="00E04895" w:rsidRPr="00E04895">
        <w:rPr>
          <w:i/>
          <w:iCs/>
        </w:rPr>
        <w:t xml:space="preserve"> </w:t>
      </w:r>
      <w:r w:rsidRPr="00E04895">
        <w:rPr>
          <w:i/>
          <w:iCs/>
        </w:rPr>
        <w:t xml:space="preserve">assumed to be related to its corresponding predictor vector </w:t>
      </w:r>
      <m:oMath>
        <m:r>
          <w:rPr>
            <w:rFonts w:ascii="Cambria Math" w:hAnsi="Cambria Math"/>
          </w:rPr>
          <m:t>x</m:t>
        </m:r>
      </m:oMath>
      <w:r w:rsidRPr="00E04895">
        <w:rPr>
          <w:i/>
          <w:iCs/>
        </w:rPr>
        <w:t xml:space="preserve"> by</w:t>
      </w:r>
      <w:r w:rsidR="00E04895" w:rsidRPr="00E04895">
        <w:rPr>
          <w:i/>
          <w:iCs/>
        </w:rPr>
        <w:t xml:space="preserve"> </w:t>
      </w:r>
      <m:oMath>
        <m:r>
          <w:rPr>
            <w:rFonts w:ascii="Cambria Math" w:hAnsi="Cambria Math"/>
          </w:rPr>
          <m:t>y=</m:t>
        </m:r>
        <m:sSup>
          <m:sSupPr>
            <m:ctrlPr>
              <w:rPr>
                <w:rFonts w:ascii="Cambria Math" w:hAnsi="Cambria Math"/>
                <w:i/>
                <w:iCs/>
              </w:rPr>
            </m:ctrlPr>
          </m:sSupPr>
          <m:e>
            <m:r>
              <w:rPr>
                <w:rFonts w:ascii="Cambria Math" w:hAnsi="Cambria Math"/>
              </w:rPr>
              <m:t>x</m:t>
            </m:r>
          </m:e>
          <m:sup>
            <m:r>
              <w:rPr>
                <w:rFonts w:ascii="Cambria Math" w:hAnsi="Cambria Math"/>
              </w:rPr>
              <m:t>⊤</m:t>
            </m:r>
          </m:sup>
        </m:sSup>
        <m:r>
          <w:rPr>
            <w:rFonts w:ascii="Cambria Math" w:hAnsi="Cambria Math"/>
          </w:rPr>
          <m:t>β+</m:t>
        </m:r>
        <m:sSub>
          <m:sSubPr>
            <m:ctrlPr>
              <w:rPr>
                <w:rFonts w:ascii="Cambria Math" w:hAnsi="Cambria Math"/>
                <w:i/>
                <w:iCs/>
              </w:rPr>
            </m:ctrlPr>
          </m:sSubPr>
          <m:e>
            <m:r>
              <w:rPr>
                <w:rFonts w:ascii="Cambria Math" w:hAnsi="Cambria Math"/>
              </w:rPr>
              <m:t>β</m:t>
            </m:r>
          </m:e>
          <m:sub>
            <m:r>
              <w:rPr>
                <w:rFonts w:ascii="Cambria Math" w:hAnsi="Cambria Math"/>
              </w:rPr>
              <m:t>0</m:t>
            </m:r>
          </m:sub>
        </m:sSub>
        <m:r>
          <w:rPr>
            <w:rFonts w:ascii="Cambria Math" w:hAnsi="Cambria Math"/>
          </w:rPr>
          <m:t>+ ϵ</m:t>
        </m:r>
      </m:oMath>
      <w:r w:rsidR="008B0727" w:rsidRPr="00E04895">
        <w:rPr>
          <w:i/>
          <w:iCs/>
        </w:rPr>
        <w:t>,</w:t>
      </w:r>
      <w:r w:rsidR="00E04895" w:rsidRPr="00E04895">
        <w:rPr>
          <w:i/>
          <w:iCs/>
        </w:rPr>
        <w:t xml:space="preserve"> </w:t>
      </w:r>
      <w:r w:rsidR="008B0727" w:rsidRPr="00E04895">
        <w:rPr>
          <w:i/>
          <w:iCs/>
        </w:rPr>
        <w:t xml:space="preserve">where </w:t>
      </w:r>
      <m:oMath>
        <m:r>
          <w:rPr>
            <w:rFonts w:ascii="Cambria Math" w:hAnsi="Cambria Math"/>
          </w:rPr>
          <m:t>β</m:t>
        </m:r>
      </m:oMath>
      <w:r w:rsidR="008B0727" w:rsidRPr="00E04895">
        <w:rPr>
          <w:i/>
          <w:iCs/>
        </w:rPr>
        <w:t xml:space="preserve"> is the parameter</w:t>
      </w:r>
      <w:r w:rsidR="00E04895" w:rsidRPr="00E04895">
        <w:rPr>
          <w:i/>
          <w:iCs/>
        </w:rPr>
        <w:t xml:space="preserve"> </w:t>
      </w:r>
      <w:r w:rsidR="008B0727" w:rsidRPr="00E04895">
        <w:rPr>
          <w:i/>
          <w:iCs/>
        </w:rPr>
        <w:t xml:space="preserve">vector, </w:t>
      </w:r>
      <m:oMath>
        <m:sSub>
          <m:sSubPr>
            <m:ctrlPr>
              <w:rPr>
                <w:rFonts w:ascii="Cambria Math" w:hAnsi="Cambria Math"/>
                <w:i/>
                <w:iCs/>
              </w:rPr>
            </m:ctrlPr>
          </m:sSubPr>
          <m:e>
            <m:r>
              <w:rPr>
                <w:rFonts w:ascii="Cambria Math" w:hAnsi="Cambria Math"/>
              </w:rPr>
              <m:t>β</m:t>
            </m:r>
          </m:e>
          <m:sub>
            <m:r>
              <w:rPr>
                <w:rFonts w:ascii="Cambria Math" w:hAnsi="Cambria Math"/>
              </w:rPr>
              <m:t>0</m:t>
            </m:r>
          </m:sub>
        </m:sSub>
      </m:oMath>
      <w:r w:rsidR="008B0727" w:rsidRPr="00E04895">
        <w:rPr>
          <w:i/>
          <w:iCs/>
        </w:rPr>
        <w:t xml:space="preserve"> represents the intercept term and </w:t>
      </w:r>
      <m:oMath>
        <m:r>
          <w:rPr>
            <w:rFonts w:ascii="Cambria Math" w:hAnsi="Cambria Math"/>
          </w:rPr>
          <m:t>ϵ∼</m:t>
        </m:r>
        <m:r>
          <m:rPr>
            <m:scr m:val="script"/>
          </m:rPr>
          <w:rPr>
            <w:rFonts w:ascii="Cambria Math" w:hAnsi="Cambria Math"/>
          </w:rPr>
          <m:t>N</m:t>
        </m:r>
        <m:d>
          <m:dPr>
            <m:ctrlPr>
              <w:rPr>
                <w:rFonts w:ascii="Cambria Math" w:hAnsi="Cambria Math"/>
                <w:i/>
                <w:iCs/>
              </w:rPr>
            </m:ctrlPr>
          </m:dPr>
          <m:e>
            <m:r>
              <w:rPr>
                <w:rFonts w:ascii="Cambria Math" w:hAnsi="Cambria Math"/>
              </w:rPr>
              <m:t>0,</m:t>
            </m:r>
            <m:sSup>
              <m:sSupPr>
                <m:ctrlPr>
                  <w:rPr>
                    <w:rFonts w:ascii="Cambria Math" w:hAnsi="Cambria Math"/>
                    <w:i/>
                    <w:iCs/>
                  </w:rPr>
                </m:ctrlPr>
              </m:sSupPr>
              <m:e>
                <m:r>
                  <w:rPr>
                    <w:rFonts w:ascii="Cambria Math" w:hAnsi="Cambria Math"/>
                  </w:rPr>
                  <m:t>σ</m:t>
                </m:r>
              </m:e>
              <m:sup>
                <m:r>
                  <w:rPr>
                    <w:rFonts w:ascii="Cambria Math" w:hAnsi="Cambria Math"/>
                  </w:rPr>
                  <m:t>2</m:t>
                </m:r>
              </m:sup>
            </m:sSup>
          </m:e>
        </m:d>
      </m:oMath>
      <w:r w:rsidR="008B0727" w:rsidRPr="00E04895">
        <w:rPr>
          <w:i/>
          <w:iCs/>
        </w:rPr>
        <w:t xml:space="preserve"> is a gaussian random variable which</w:t>
      </w:r>
      <w:r w:rsidR="00E04895" w:rsidRPr="00E04895">
        <w:rPr>
          <w:i/>
          <w:iCs/>
        </w:rPr>
        <w:t xml:space="preserve"> </w:t>
      </w:r>
      <w:r w:rsidR="008B0727" w:rsidRPr="00E04895">
        <w:rPr>
          <w:i/>
          <w:iCs/>
        </w:rPr>
        <w:t>is the noise in the model.</w:t>
      </w:r>
    </w:p>
    <w:p w14:paraId="6CA6AFD8" w14:textId="71FC2F7C" w:rsidR="000F3945" w:rsidRPr="00E04895" w:rsidRDefault="008B0727" w:rsidP="00E04895">
      <w:pPr>
        <w:pStyle w:val="BodyText"/>
        <w:rPr>
          <w:i/>
          <w:iCs/>
        </w:rPr>
      </w:pPr>
      <w:r w:rsidRPr="00E04895">
        <w:rPr>
          <w:i/>
          <w:iCs/>
        </w:rPr>
        <w:t xml:space="preserve">The response </w:t>
      </w:r>
      <m:oMath>
        <m:r>
          <w:rPr>
            <w:rFonts w:ascii="Cambria Math" w:hAnsi="Cambria Math"/>
          </w:rPr>
          <m:t>y</m:t>
        </m:r>
      </m:oMath>
      <w:r w:rsidRPr="00E04895">
        <w:rPr>
          <w:i/>
          <w:iCs/>
        </w:rPr>
        <w:t xml:space="preserve"> is normally distributed </w:t>
      </w:r>
      <m:oMath>
        <m:r>
          <w:rPr>
            <w:rFonts w:ascii="Cambria Math" w:hAnsi="Cambria Math"/>
          </w:rPr>
          <m:t>y∼</m:t>
        </m:r>
        <m:r>
          <m:rPr>
            <m:scr m:val="script"/>
          </m:rPr>
          <w:rPr>
            <w:rFonts w:ascii="Cambria Math" w:hAnsi="Cambria Math"/>
          </w:rPr>
          <m:t>N</m:t>
        </m:r>
        <m:d>
          <m:dPr>
            <m:ctrlPr>
              <w:rPr>
                <w:rFonts w:ascii="Cambria Math" w:hAnsi="Cambria Math"/>
                <w:i/>
                <w:iCs/>
              </w:rPr>
            </m:ctrlPr>
          </m:dPr>
          <m:e>
            <m:sSup>
              <m:sSupPr>
                <m:ctrlPr>
                  <w:rPr>
                    <w:rFonts w:ascii="Cambria Math" w:hAnsi="Cambria Math"/>
                    <w:i/>
                    <w:iCs/>
                  </w:rPr>
                </m:ctrlPr>
              </m:sSupPr>
              <m:e>
                <m:r>
                  <w:rPr>
                    <w:rFonts w:ascii="Cambria Math" w:hAnsi="Cambria Math"/>
                  </w:rPr>
                  <m:t>x</m:t>
                </m:r>
              </m:e>
              <m:sup>
                <m:r>
                  <w:rPr>
                    <w:rFonts w:ascii="Cambria Math" w:hAnsi="Cambria Math"/>
                  </w:rPr>
                  <m:t>⊤</m:t>
                </m:r>
              </m:sup>
            </m:sSup>
            <m:r>
              <w:rPr>
                <w:rFonts w:ascii="Cambria Math" w:hAnsi="Cambria Math"/>
              </w:rPr>
              <m:t>β+</m:t>
            </m:r>
            <m:sSub>
              <m:sSubPr>
                <m:ctrlPr>
                  <w:rPr>
                    <w:rFonts w:ascii="Cambria Math" w:hAnsi="Cambria Math"/>
                    <w:i/>
                    <w:iCs/>
                  </w:rPr>
                </m:ctrlPr>
              </m:sSubPr>
              <m:e>
                <m:r>
                  <w:rPr>
                    <w:rFonts w:ascii="Cambria Math" w:hAnsi="Cambria Math"/>
                  </w:rPr>
                  <m:t>β</m:t>
                </m:r>
              </m:e>
              <m:sub>
                <m:r>
                  <w:rPr>
                    <w:rFonts w:ascii="Cambria Math" w:hAnsi="Cambria Math"/>
                  </w:rPr>
                  <m:t>0</m:t>
                </m:r>
              </m:sub>
            </m:sSub>
            <m:r>
              <w:rPr>
                <w:rFonts w:ascii="Cambria Math" w:hAnsi="Cambria Math"/>
              </w:rPr>
              <m:t>,</m:t>
            </m:r>
            <m:sSup>
              <m:sSupPr>
                <m:ctrlPr>
                  <w:rPr>
                    <w:rFonts w:ascii="Cambria Math" w:hAnsi="Cambria Math"/>
                    <w:i/>
                    <w:iCs/>
                  </w:rPr>
                </m:ctrlPr>
              </m:sSupPr>
              <m:e>
                <m:r>
                  <w:rPr>
                    <w:rFonts w:ascii="Cambria Math" w:hAnsi="Cambria Math"/>
                  </w:rPr>
                  <m:t>σ</m:t>
                </m:r>
              </m:e>
              <m:sup>
                <m:r>
                  <w:rPr>
                    <w:rFonts w:ascii="Cambria Math" w:hAnsi="Cambria Math"/>
                  </w:rPr>
                  <m:t>2</m:t>
                </m:r>
              </m:sup>
            </m:sSup>
          </m:e>
        </m:d>
      </m:oMath>
      <w:r w:rsidRPr="00E04895">
        <w:rPr>
          <w:i/>
          <w:iCs/>
        </w:rPr>
        <w:t xml:space="preserve"> as well. Since it assumes additivity of the covariates, normality of the error term as well as constancy of the variance, this model is restrictive. Because these assumptions are not applicable to many problems and datasets, a</w:t>
      </w:r>
      <w:r w:rsidR="00E04895" w:rsidRPr="00E04895">
        <w:rPr>
          <w:i/>
          <w:iCs/>
        </w:rPr>
        <w:t xml:space="preserve"> </w:t>
      </w:r>
      <w:r w:rsidRPr="00E04895">
        <w:rPr>
          <w:i/>
          <w:iCs/>
        </w:rPr>
        <w:t xml:space="preserve">more flexible model is </w:t>
      </w:r>
      <w:r w:rsidR="000F3945" w:rsidRPr="00E04895">
        <w:rPr>
          <w:i/>
          <w:iCs/>
        </w:rPr>
        <w:t>beneficial</w:t>
      </w:r>
      <w:r w:rsidRPr="00E04895">
        <w:rPr>
          <w:i/>
          <w:iCs/>
        </w:rPr>
        <w:t>.</w:t>
      </w:r>
    </w:p>
    <w:p w14:paraId="3E351835" w14:textId="77777777" w:rsidR="00E04895" w:rsidRPr="00E04895" w:rsidRDefault="008B0727" w:rsidP="00E04895">
      <w:pPr>
        <w:pStyle w:val="BodyText"/>
        <w:rPr>
          <w:i/>
          <w:iCs/>
        </w:rPr>
      </w:pPr>
      <w:r w:rsidRPr="00E04895">
        <w:rPr>
          <w:i/>
          <w:iCs/>
        </w:rPr>
        <w:t>GLMs relax the above assumptions by allowing the variance to vary as a function</w:t>
      </w:r>
      <w:r w:rsidR="00E04895" w:rsidRPr="00E04895">
        <w:rPr>
          <w:i/>
          <w:iCs/>
        </w:rPr>
        <w:t xml:space="preserve"> </w:t>
      </w:r>
      <w:r w:rsidRPr="00E04895">
        <w:rPr>
          <w:i/>
          <w:iCs/>
        </w:rPr>
        <w:t>of the mean, non-normal errors and a non-linear relation between the response</w:t>
      </w:r>
      <w:r w:rsidR="00E04895" w:rsidRPr="00E04895">
        <w:rPr>
          <w:i/>
          <w:iCs/>
        </w:rPr>
        <w:t xml:space="preserve"> </w:t>
      </w:r>
      <w:r w:rsidRPr="00E04895">
        <w:rPr>
          <w:i/>
          <w:iCs/>
        </w:rPr>
        <w:t>and covariates. More</w:t>
      </w:r>
      <w:r w:rsidR="00E04895" w:rsidRPr="00E04895">
        <w:rPr>
          <w:i/>
          <w:iCs/>
        </w:rPr>
        <w:t xml:space="preserve"> </w:t>
      </w:r>
      <w:r w:rsidRPr="00E04895">
        <w:rPr>
          <w:i/>
          <w:iCs/>
        </w:rPr>
        <w:t>speci</w:t>
      </w:r>
      <w:r w:rsidR="000F3945" w:rsidRPr="00E04895">
        <w:rPr>
          <w:i/>
          <w:iCs/>
        </w:rPr>
        <w:t>fi</w:t>
      </w:r>
      <w:r w:rsidRPr="00E04895">
        <w:rPr>
          <w:i/>
          <w:iCs/>
        </w:rPr>
        <w:t>cally, the response distribution is assumed to belong</w:t>
      </w:r>
      <w:r w:rsidR="00E04895" w:rsidRPr="00E04895">
        <w:rPr>
          <w:i/>
          <w:iCs/>
        </w:rPr>
        <w:t xml:space="preserve"> </w:t>
      </w:r>
      <w:r w:rsidRPr="00E04895">
        <w:rPr>
          <w:i/>
          <w:iCs/>
        </w:rPr>
        <w:t>to the exponential family, which</w:t>
      </w:r>
      <w:r w:rsidR="00E04895" w:rsidRPr="00E04895">
        <w:rPr>
          <w:i/>
          <w:iCs/>
        </w:rPr>
        <w:t xml:space="preserve"> </w:t>
      </w:r>
      <w:r w:rsidRPr="00E04895">
        <w:rPr>
          <w:i/>
          <w:iCs/>
        </w:rPr>
        <w:t>includes the Gaussian, Poisson, binomial,</w:t>
      </w:r>
      <w:r w:rsidR="000F3945" w:rsidRPr="00E04895">
        <w:rPr>
          <w:i/>
          <w:iCs/>
        </w:rPr>
        <w:t xml:space="preserve"> multinomial and gamma distributions as special cases. </w:t>
      </w:r>
    </w:p>
    <w:p w14:paraId="0003E50E" w14:textId="77777777" w:rsidR="00E04895" w:rsidRDefault="00E04895" w:rsidP="00E04895">
      <w:pPr>
        <w:pStyle w:val="BodyText"/>
        <w:rPr>
          <w:i/>
          <w:iCs/>
        </w:rPr>
      </w:pPr>
    </w:p>
    <w:p w14:paraId="20D8A2D0" w14:textId="30A9E005" w:rsidR="000F3945" w:rsidRPr="00E04895" w:rsidRDefault="000F3945" w:rsidP="00E04895">
      <w:pPr>
        <w:pStyle w:val="BodyText"/>
        <w:rPr>
          <w:i/>
          <w:iCs/>
        </w:rPr>
      </w:pPr>
      <w:r w:rsidRPr="00E04895">
        <w:rPr>
          <w:i/>
          <w:iCs/>
        </w:rPr>
        <w:t>The components of a GLM are:</w:t>
      </w:r>
    </w:p>
    <w:p w14:paraId="23612740" w14:textId="09664AF8" w:rsidR="000F3945" w:rsidRPr="00E04895" w:rsidRDefault="000F3945" w:rsidP="00E04895">
      <w:pPr>
        <w:pStyle w:val="ListBullet"/>
        <w:rPr>
          <w:i/>
          <w:iCs/>
        </w:rPr>
      </w:pPr>
      <w:r w:rsidRPr="00E04895">
        <w:rPr>
          <w:i/>
          <w:iCs/>
        </w:rPr>
        <w:t xml:space="preserve">The random component </w:t>
      </w:r>
      <m:oMath>
        <m:r>
          <w:rPr>
            <w:rFonts w:ascii="Cambria Math" w:hAnsi="Cambria Math"/>
          </w:rPr>
          <m:t>f</m:t>
        </m:r>
      </m:oMath>
      <w:r w:rsidRPr="00E04895">
        <w:rPr>
          <w:i/>
          <w:iCs/>
        </w:rPr>
        <w:t xml:space="preserve"> for the dependent variable </w:t>
      </w:r>
      <m:oMath>
        <m:r>
          <w:rPr>
            <w:rFonts w:ascii="Cambria Math" w:hAnsi="Cambria Math"/>
          </w:rPr>
          <m:t>y</m:t>
        </m:r>
      </m:oMath>
      <w:r w:rsidRPr="00E04895">
        <w:rPr>
          <w:i/>
          <w:iCs/>
        </w:rPr>
        <w:t>: the density</w:t>
      </w:r>
      <w:r w:rsidR="00F22BF8" w:rsidRPr="00E04895">
        <w:rPr>
          <w:i/>
          <w:iCs/>
        </w:rPr>
        <w:t xml:space="preserve"> </w:t>
      </w:r>
      <w:r w:rsidRPr="00E04895">
        <w:rPr>
          <w:i/>
          <w:iCs/>
        </w:rPr>
        <w:t xml:space="preserve">function </w:t>
      </w:r>
      <m:oMath>
        <m:r>
          <w:rPr>
            <w:rFonts w:ascii="Cambria Math" w:hAnsi="Cambria Math"/>
          </w:rPr>
          <m:t>f(y;θ,ϕ)</m:t>
        </m:r>
      </m:oMath>
      <w:r w:rsidR="00911C12" w:rsidRPr="00E04895">
        <w:rPr>
          <w:i/>
          <w:iCs/>
        </w:rPr>
        <w:t xml:space="preserve"> </w:t>
      </w:r>
      <w:r w:rsidRPr="00E04895">
        <w:rPr>
          <w:i/>
          <w:iCs/>
        </w:rPr>
        <w:t>has a probability distribution from the exponential</w:t>
      </w:r>
      <w:r w:rsidR="00F22BF8" w:rsidRPr="00E04895">
        <w:rPr>
          <w:i/>
          <w:iCs/>
        </w:rPr>
        <w:t xml:space="preserve"> </w:t>
      </w:r>
      <w:r w:rsidRPr="00E04895">
        <w:rPr>
          <w:i/>
          <w:iCs/>
        </w:rPr>
        <w:t xml:space="preserve">family parametrized by  </w:t>
      </w:r>
      <m:oMath>
        <m:r>
          <w:rPr>
            <w:rFonts w:ascii="Cambria Math" w:hAnsi="Cambria Math"/>
          </w:rPr>
          <m:t>θ</m:t>
        </m:r>
      </m:oMath>
      <w:r w:rsidR="00911C12" w:rsidRPr="00E04895">
        <w:rPr>
          <w:i/>
          <w:iCs/>
        </w:rPr>
        <w:t xml:space="preserve"> </w:t>
      </w:r>
      <w:r w:rsidRPr="00E04895">
        <w:rPr>
          <w:i/>
          <w:iCs/>
        </w:rPr>
        <w:t xml:space="preserve">and </w:t>
      </w:r>
      <m:oMath>
        <m:r>
          <w:rPr>
            <w:rFonts w:ascii="Cambria Math" w:hAnsi="Cambria Math"/>
          </w:rPr>
          <m:t>ϕ</m:t>
        </m:r>
      </m:oMath>
      <w:r w:rsidRPr="00E04895">
        <w:rPr>
          <w:i/>
          <w:iCs/>
        </w:rPr>
        <w:t>. This removes the restriction on the</w:t>
      </w:r>
      <w:r w:rsidR="00F22BF8" w:rsidRPr="00E04895">
        <w:rPr>
          <w:i/>
          <w:iCs/>
        </w:rPr>
        <w:t xml:space="preserve"> </w:t>
      </w:r>
      <w:r w:rsidRPr="00E04895">
        <w:rPr>
          <w:i/>
          <w:iCs/>
        </w:rPr>
        <w:t>distribution of the error and allows for non-homogeneity of the variance</w:t>
      </w:r>
      <w:r w:rsidR="00F22BF8" w:rsidRPr="00E04895">
        <w:rPr>
          <w:i/>
          <w:iCs/>
        </w:rPr>
        <w:t xml:space="preserve"> </w:t>
      </w:r>
      <w:r w:rsidRPr="00E04895">
        <w:rPr>
          <w:i/>
          <w:iCs/>
        </w:rPr>
        <w:t>with respect to the mean vector.</w:t>
      </w:r>
    </w:p>
    <w:p w14:paraId="565411CC" w14:textId="09542A5C" w:rsidR="00F22BF8" w:rsidRPr="00E04895" w:rsidRDefault="00F22BF8" w:rsidP="00E04895">
      <w:pPr>
        <w:pStyle w:val="ListBullet"/>
        <w:rPr>
          <w:i/>
          <w:iCs/>
        </w:rPr>
      </w:pPr>
      <w:r w:rsidRPr="00E04895">
        <w:rPr>
          <w:i/>
          <w:iCs/>
        </w:rPr>
        <w:t>The systematic component</w:t>
      </w:r>
      <w:r w:rsidR="00911C12" w:rsidRPr="00E04895">
        <w:rPr>
          <w:i/>
          <w:iCs/>
        </w:rPr>
        <w:t xml:space="preserve"> (linear model)</w:t>
      </w:r>
      <w:r w:rsidRPr="00E04895">
        <w:rPr>
          <w:i/>
          <w:iCs/>
        </w:rPr>
        <w:t xml:space="preserve"> </w:t>
      </w:r>
      <m:oMath>
        <m:r>
          <w:rPr>
            <w:rFonts w:ascii="Cambria Math" w:hAnsi="Cambria Math"/>
          </w:rPr>
          <m:t>η</m:t>
        </m:r>
      </m:oMath>
      <w:r w:rsidRPr="00E04895">
        <w:rPr>
          <w:i/>
          <w:iCs/>
        </w:rPr>
        <w:t xml:space="preserve">:  </w:t>
      </w:r>
      <m:oMath>
        <m:r>
          <w:rPr>
            <w:rFonts w:ascii="Cambria Math" w:hAnsi="Cambria Math"/>
          </w:rPr>
          <m:t>η=Xβ</m:t>
        </m:r>
      </m:oMath>
      <w:r w:rsidRPr="00E04895">
        <w:rPr>
          <w:i/>
          <w:iCs/>
        </w:rPr>
        <w:t xml:space="preserve">, where </w:t>
      </w:r>
      <m:oMath>
        <m:r>
          <w:rPr>
            <w:rFonts w:ascii="Cambria Math" w:hAnsi="Cambria Math"/>
          </w:rPr>
          <m:t>X</m:t>
        </m:r>
      </m:oMath>
      <w:r w:rsidRPr="00E04895">
        <w:rPr>
          <w:i/>
          <w:iCs/>
        </w:rPr>
        <w:t xml:space="preserve"> is the matrix of all observation vectors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Pr="00E04895">
        <w:rPr>
          <w:i/>
          <w:iCs/>
        </w:rPr>
        <w:t>.</w:t>
      </w:r>
    </w:p>
    <w:p w14:paraId="3A0B2A19" w14:textId="48D86510" w:rsidR="00F22BF8" w:rsidRPr="00E04895" w:rsidRDefault="00F22BF8" w:rsidP="00E04895">
      <w:pPr>
        <w:pStyle w:val="ListBullet"/>
        <w:rPr>
          <w:i/>
          <w:iCs/>
        </w:rPr>
      </w:pPr>
      <w:r w:rsidRPr="00E04895">
        <w:rPr>
          <w:i/>
          <w:iCs/>
        </w:rPr>
        <w:t xml:space="preserve">The link function </w:t>
      </w:r>
      <m:oMath>
        <m:r>
          <w:rPr>
            <w:rFonts w:ascii="Cambria Math" w:hAnsi="Cambria Math"/>
          </w:rPr>
          <m:t>g</m:t>
        </m:r>
      </m:oMath>
      <w:r w:rsidRPr="00E04895">
        <w:rPr>
          <w:i/>
          <w:iCs/>
        </w:rPr>
        <w:t xml:space="preserve">: </w:t>
      </w:r>
      <m:oMath>
        <m:r>
          <w:rPr>
            <w:rFonts w:ascii="Cambria Math" w:hAnsi="Cambria Math"/>
          </w:rPr>
          <m:t>E(y)=μ=</m:t>
        </m:r>
        <m:sSup>
          <m:sSupPr>
            <m:ctrlPr>
              <w:rPr>
                <w:rFonts w:ascii="Cambria Math" w:hAnsi="Cambria Math"/>
                <w:i/>
                <w:iCs/>
              </w:rPr>
            </m:ctrlPr>
          </m:sSupPr>
          <m:e>
            <m:r>
              <w:rPr>
                <w:rFonts w:ascii="Cambria Math" w:hAnsi="Cambria Math"/>
              </w:rPr>
              <m:t>g</m:t>
            </m:r>
          </m:e>
          <m:sup>
            <m:r>
              <w:rPr>
                <w:rFonts w:ascii="Cambria Math" w:hAnsi="Cambria Math"/>
              </w:rPr>
              <m:t>-</m:t>
            </m:r>
          </m:sup>
        </m:sSup>
        <m:r>
          <w:rPr>
            <w:rFonts w:ascii="Cambria Math" w:hAnsi="Cambria Math"/>
          </w:rPr>
          <m:t>1(η)</m:t>
        </m:r>
      </m:oMath>
      <w:r w:rsidR="00911C12" w:rsidRPr="00E04895">
        <w:rPr>
          <w:i/>
          <w:iCs/>
        </w:rPr>
        <w:t xml:space="preserve"> </w:t>
      </w:r>
      <w:r w:rsidRPr="00E04895">
        <w:rPr>
          <w:i/>
          <w:iCs/>
        </w:rPr>
        <w:t xml:space="preserve">which relates the expected value of the response </w:t>
      </w:r>
      <m:oMath>
        <m:r>
          <w:rPr>
            <w:rFonts w:ascii="Cambria Math" w:hAnsi="Cambria Math"/>
          </w:rPr>
          <m:t>μ</m:t>
        </m:r>
      </m:oMath>
      <w:r w:rsidR="009043B5" w:rsidRPr="00E04895">
        <w:rPr>
          <w:i/>
          <w:iCs/>
        </w:rPr>
        <w:t xml:space="preserve"> </w:t>
      </w:r>
      <w:r w:rsidRPr="00E04895">
        <w:rPr>
          <w:i/>
          <w:iCs/>
        </w:rPr>
        <w:t xml:space="preserve">to the linear component </w:t>
      </w:r>
      <m:oMath>
        <m:r>
          <w:rPr>
            <w:rFonts w:ascii="Cambria Math" w:hAnsi="Cambria Math"/>
          </w:rPr>
          <m:t>η</m:t>
        </m:r>
      </m:oMath>
      <w:r w:rsidRPr="00E04895">
        <w:rPr>
          <w:i/>
          <w:iCs/>
        </w:rPr>
        <w:t>. The link function can be any monotonic di</w:t>
      </w:r>
      <w:r w:rsidR="009043B5" w:rsidRPr="00E04895">
        <w:rPr>
          <w:i/>
          <w:iCs/>
        </w:rPr>
        <w:t>ff</w:t>
      </w:r>
      <w:r w:rsidRPr="00E04895">
        <w:rPr>
          <w:i/>
          <w:iCs/>
        </w:rPr>
        <w:t xml:space="preserve">erentiable function. This relaxes the constraints on the additivity of the covariates, and it allows the response to belong to a restricted range of values depending on the chosen transformation </w:t>
      </w:r>
      <m:oMath>
        <m:r>
          <w:rPr>
            <w:rFonts w:ascii="Cambria Math" w:hAnsi="Cambria Math"/>
          </w:rPr>
          <m:t>g</m:t>
        </m:r>
      </m:oMath>
      <w:r w:rsidRPr="00E04895">
        <w:rPr>
          <w:i/>
          <w:iCs/>
        </w:rPr>
        <w:t>.</w:t>
      </w:r>
    </w:p>
    <w:p w14:paraId="567C88F2" w14:textId="77777777" w:rsidR="00E04895" w:rsidRPr="00E04895" w:rsidRDefault="00E04895" w:rsidP="00E04895">
      <w:pPr>
        <w:pStyle w:val="BodyText"/>
        <w:rPr>
          <w:i/>
          <w:iCs/>
        </w:rPr>
      </w:pPr>
    </w:p>
    <w:p w14:paraId="7E6187A1" w14:textId="318500CD" w:rsidR="009043B5" w:rsidRPr="00E04895" w:rsidRDefault="000F3945" w:rsidP="00E04895">
      <w:pPr>
        <w:pStyle w:val="BodyText"/>
        <w:rPr>
          <w:i/>
          <w:iCs/>
        </w:rPr>
      </w:pPr>
      <w:r w:rsidRPr="00E04895">
        <w:rPr>
          <w:i/>
          <w:iCs/>
        </w:rPr>
        <w:lastRenderedPageBreak/>
        <w:t>This generalization makes GLM suitable for a wider range of problems. An example of a case of the GLM representation is the familiar logistic regression model commonly used for binary classification in medical applications</w:t>
      </w:r>
      <w:r w:rsidR="0029337B" w:rsidRPr="00E04895">
        <w:rPr>
          <w:i/>
          <w:iCs/>
        </w:rPr>
        <w:t>.</w:t>
      </w:r>
    </w:p>
    <w:sectPr w:rsidR="009043B5" w:rsidRPr="00E0489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C02106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543E1A"/>
    <w:multiLevelType w:val="hybridMultilevel"/>
    <w:tmpl w:val="390CE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B505D"/>
    <w:multiLevelType w:val="hybridMultilevel"/>
    <w:tmpl w:val="7D9C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5464C6"/>
    <w:multiLevelType w:val="hybridMultilevel"/>
    <w:tmpl w:val="E79040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EE1B7A"/>
    <w:multiLevelType w:val="hybridMultilevel"/>
    <w:tmpl w:val="5F1A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041FD8"/>
    <w:multiLevelType w:val="hybridMultilevel"/>
    <w:tmpl w:val="6270E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18D"/>
    <w:rsid w:val="00020A68"/>
    <w:rsid w:val="000867FA"/>
    <w:rsid w:val="000F3945"/>
    <w:rsid w:val="00143B08"/>
    <w:rsid w:val="001B5FDF"/>
    <w:rsid w:val="0029337B"/>
    <w:rsid w:val="002A7204"/>
    <w:rsid w:val="003C6643"/>
    <w:rsid w:val="0051718D"/>
    <w:rsid w:val="006645C2"/>
    <w:rsid w:val="006C6818"/>
    <w:rsid w:val="006D1D1F"/>
    <w:rsid w:val="007D42A0"/>
    <w:rsid w:val="008A5897"/>
    <w:rsid w:val="008B0727"/>
    <w:rsid w:val="008E398B"/>
    <w:rsid w:val="009043B5"/>
    <w:rsid w:val="00911C12"/>
    <w:rsid w:val="009A789A"/>
    <w:rsid w:val="00A46590"/>
    <w:rsid w:val="00A47277"/>
    <w:rsid w:val="00A55E5F"/>
    <w:rsid w:val="00AB1A82"/>
    <w:rsid w:val="00D86650"/>
    <w:rsid w:val="00E04895"/>
    <w:rsid w:val="00E84A11"/>
    <w:rsid w:val="00EC58B5"/>
    <w:rsid w:val="00F22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F0DC"/>
  <w15:chartTrackingRefBased/>
  <w15:docId w15:val="{2462BF19-ED34-4747-9222-0C4394C2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D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2A0"/>
    <w:rPr>
      <w:color w:val="808080"/>
    </w:rPr>
  </w:style>
  <w:style w:type="paragraph" w:styleId="BodyText">
    <w:name w:val="Body Text"/>
    <w:basedOn w:val="Normal"/>
    <w:link w:val="BodyTextChar"/>
    <w:uiPriority w:val="99"/>
    <w:unhideWhenUsed/>
    <w:rsid w:val="00020A68"/>
    <w:pPr>
      <w:spacing w:after="120"/>
    </w:pPr>
  </w:style>
  <w:style w:type="character" w:customStyle="1" w:styleId="BodyTextChar">
    <w:name w:val="Body Text Char"/>
    <w:basedOn w:val="DefaultParagraphFont"/>
    <w:link w:val="BodyText"/>
    <w:uiPriority w:val="99"/>
    <w:rsid w:val="00020A68"/>
  </w:style>
  <w:style w:type="character" w:styleId="SubtleEmphasis">
    <w:name w:val="Subtle Emphasis"/>
    <w:basedOn w:val="DefaultParagraphFont"/>
    <w:uiPriority w:val="19"/>
    <w:qFormat/>
    <w:rsid w:val="007D42A0"/>
    <w:rPr>
      <w:i/>
      <w:iCs/>
      <w:color w:val="404040" w:themeColor="text1" w:themeTint="BF"/>
    </w:rPr>
  </w:style>
  <w:style w:type="paragraph" w:styleId="HTMLPreformatted">
    <w:name w:val="HTML Preformatted"/>
    <w:basedOn w:val="Normal"/>
    <w:link w:val="HTMLPreformattedChar"/>
    <w:uiPriority w:val="99"/>
    <w:semiHidden/>
    <w:unhideWhenUsed/>
    <w:rsid w:val="006C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6818"/>
    <w:rPr>
      <w:rFonts w:ascii="Courier New" w:eastAsia="Times New Roman" w:hAnsi="Courier New" w:cs="Courier New"/>
      <w:sz w:val="20"/>
      <w:szCs w:val="20"/>
    </w:rPr>
  </w:style>
  <w:style w:type="character" w:customStyle="1" w:styleId="mi">
    <w:name w:val="mi"/>
    <w:basedOn w:val="DefaultParagraphFont"/>
    <w:rsid w:val="006645C2"/>
  </w:style>
  <w:style w:type="character" w:customStyle="1" w:styleId="mn">
    <w:name w:val="mn"/>
    <w:basedOn w:val="DefaultParagraphFont"/>
    <w:rsid w:val="006645C2"/>
  </w:style>
  <w:style w:type="character" w:customStyle="1" w:styleId="mo">
    <w:name w:val="mo"/>
    <w:basedOn w:val="DefaultParagraphFont"/>
    <w:rsid w:val="006645C2"/>
  </w:style>
  <w:style w:type="character" w:customStyle="1" w:styleId="mjxassistivemathml">
    <w:name w:val="mjx_assistive_mathml"/>
    <w:basedOn w:val="DefaultParagraphFont"/>
    <w:rsid w:val="006645C2"/>
  </w:style>
  <w:style w:type="paragraph" w:styleId="ListParagraph">
    <w:name w:val="List Paragraph"/>
    <w:basedOn w:val="Normal"/>
    <w:uiPriority w:val="34"/>
    <w:qFormat/>
    <w:rsid w:val="008A5897"/>
    <w:pPr>
      <w:ind w:left="720"/>
      <w:contextualSpacing/>
    </w:pPr>
  </w:style>
  <w:style w:type="paragraph" w:styleId="BalloonText">
    <w:name w:val="Balloon Text"/>
    <w:basedOn w:val="Normal"/>
    <w:link w:val="BalloonTextChar"/>
    <w:uiPriority w:val="99"/>
    <w:semiHidden/>
    <w:unhideWhenUsed/>
    <w:rsid w:val="00AB1A8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B1A82"/>
    <w:rPr>
      <w:rFonts w:ascii="Times New Roman" w:hAnsi="Times New Roman" w:cs="Times New Roman"/>
      <w:sz w:val="18"/>
      <w:szCs w:val="18"/>
    </w:rPr>
  </w:style>
  <w:style w:type="character" w:customStyle="1" w:styleId="pl-c1">
    <w:name w:val="pl-c1"/>
    <w:basedOn w:val="DefaultParagraphFont"/>
    <w:rsid w:val="00AB1A82"/>
  </w:style>
  <w:style w:type="character" w:styleId="FootnoteReference">
    <w:name w:val="footnote reference"/>
    <w:basedOn w:val="DefaultParagraphFont"/>
    <w:uiPriority w:val="99"/>
    <w:semiHidden/>
    <w:unhideWhenUsed/>
    <w:rsid w:val="00E04895"/>
    <w:rPr>
      <w:vertAlign w:val="superscript"/>
    </w:rPr>
  </w:style>
  <w:style w:type="paragraph" w:styleId="ListBullet">
    <w:name w:val="List Bullet"/>
    <w:basedOn w:val="Normal"/>
    <w:uiPriority w:val="99"/>
    <w:unhideWhenUsed/>
    <w:rsid w:val="00E04895"/>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0913">
      <w:bodyDiv w:val="1"/>
      <w:marLeft w:val="0"/>
      <w:marRight w:val="0"/>
      <w:marTop w:val="0"/>
      <w:marBottom w:val="0"/>
      <w:divBdr>
        <w:top w:val="none" w:sz="0" w:space="0" w:color="auto"/>
        <w:left w:val="none" w:sz="0" w:space="0" w:color="auto"/>
        <w:bottom w:val="none" w:sz="0" w:space="0" w:color="auto"/>
        <w:right w:val="none" w:sz="0" w:space="0" w:color="auto"/>
      </w:divBdr>
    </w:div>
    <w:div w:id="89277596">
      <w:bodyDiv w:val="1"/>
      <w:marLeft w:val="0"/>
      <w:marRight w:val="0"/>
      <w:marTop w:val="0"/>
      <w:marBottom w:val="0"/>
      <w:divBdr>
        <w:top w:val="none" w:sz="0" w:space="0" w:color="auto"/>
        <w:left w:val="none" w:sz="0" w:space="0" w:color="auto"/>
        <w:bottom w:val="none" w:sz="0" w:space="0" w:color="auto"/>
        <w:right w:val="none" w:sz="0" w:space="0" w:color="auto"/>
      </w:divBdr>
    </w:div>
    <w:div w:id="99909487">
      <w:bodyDiv w:val="1"/>
      <w:marLeft w:val="0"/>
      <w:marRight w:val="0"/>
      <w:marTop w:val="0"/>
      <w:marBottom w:val="0"/>
      <w:divBdr>
        <w:top w:val="none" w:sz="0" w:space="0" w:color="auto"/>
        <w:left w:val="none" w:sz="0" w:space="0" w:color="auto"/>
        <w:bottom w:val="none" w:sz="0" w:space="0" w:color="auto"/>
        <w:right w:val="none" w:sz="0" w:space="0" w:color="auto"/>
      </w:divBdr>
    </w:div>
    <w:div w:id="118770021">
      <w:bodyDiv w:val="1"/>
      <w:marLeft w:val="0"/>
      <w:marRight w:val="0"/>
      <w:marTop w:val="0"/>
      <w:marBottom w:val="0"/>
      <w:divBdr>
        <w:top w:val="none" w:sz="0" w:space="0" w:color="auto"/>
        <w:left w:val="none" w:sz="0" w:space="0" w:color="auto"/>
        <w:bottom w:val="none" w:sz="0" w:space="0" w:color="auto"/>
        <w:right w:val="none" w:sz="0" w:space="0" w:color="auto"/>
      </w:divBdr>
    </w:div>
    <w:div w:id="129329721">
      <w:bodyDiv w:val="1"/>
      <w:marLeft w:val="0"/>
      <w:marRight w:val="0"/>
      <w:marTop w:val="0"/>
      <w:marBottom w:val="0"/>
      <w:divBdr>
        <w:top w:val="none" w:sz="0" w:space="0" w:color="auto"/>
        <w:left w:val="none" w:sz="0" w:space="0" w:color="auto"/>
        <w:bottom w:val="none" w:sz="0" w:space="0" w:color="auto"/>
        <w:right w:val="none" w:sz="0" w:space="0" w:color="auto"/>
      </w:divBdr>
    </w:div>
    <w:div w:id="202864141">
      <w:bodyDiv w:val="1"/>
      <w:marLeft w:val="0"/>
      <w:marRight w:val="0"/>
      <w:marTop w:val="0"/>
      <w:marBottom w:val="0"/>
      <w:divBdr>
        <w:top w:val="none" w:sz="0" w:space="0" w:color="auto"/>
        <w:left w:val="none" w:sz="0" w:space="0" w:color="auto"/>
        <w:bottom w:val="none" w:sz="0" w:space="0" w:color="auto"/>
        <w:right w:val="none" w:sz="0" w:space="0" w:color="auto"/>
      </w:divBdr>
    </w:div>
    <w:div w:id="273293778">
      <w:bodyDiv w:val="1"/>
      <w:marLeft w:val="0"/>
      <w:marRight w:val="0"/>
      <w:marTop w:val="0"/>
      <w:marBottom w:val="0"/>
      <w:divBdr>
        <w:top w:val="none" w:sz="0" w:space="0" w:color="auto"/>
        <w:left w:val="none" w:sz="0" w:space="0" w:color="auto"/>
        <w:bottom w:val="none" w:sz="0" w:space="0" w:color="auto"/>
        <w:right w:val="none" w:sz="0" w:space="0" w:color="auto"/>
      </w:divBdr>
    </w:div>
    <w:div w:id="390663809">
      <w:bodyDiv w:val="1"/>
      <w:marLeft w:val="0"/>
      <w:marRight w:val="0"/>
      <w:marTop w:val="0"/>
      <w:marBottom w:val="0"/>
      <w:divBdr>
        <w:top w:val="none" w:sz="0" w:space="0" w:color="auto"/>
        <w:left w:val="none" w:sz="0" w:space="0" w:color="auto"/>
        <w:bottom w:val="none" w:sz="0" w:space="0" w:color="auto"/>
        <w:right w:val="none" w:sz="0" w:space="0" w:color="auto"/>
      </w:divBdr>
    </w:div>
    <w:div w:id="396170940">
      <w:bodyDiv w:val="1"/>
      <w:marLeft w:val="0"/>
      <w:marRight w:val="0"/>
      <w:marTop w:val="0"/>
      <w:marBottom w:val="0"/>
      <w:divBdr>
        <w:top w:val="none" w:sz="0" w:space="0" w:color="auto"/>
        <w:left w:val="none" w:sz="0" w:space="0" w:color="auto"/>
        <w:bottom w:val="none" w:sz="0" w:space="0" w:color="auto"/>
        <w:right w:val="none" w:sz="0" w:space="0" w:color="auto"/>
      </w:divBdr>
    </w:div>
    <w:div w:id="454376488">
      <w:bodyDiv w:val="1"/>
      <w:marLeft w:val="0"/>
      <w:marRight w:val="0"/>
      <w:marTop w:val="0"/>
      <w:marBottom w:val="0"/>
      <w:divBdr>
        <w:top w:val="none" w:sz="0" w:space="0" w:color="auto"/>
        <w:left w:val="none" w:sz="0" w:space="0" w:color="auto"/>
        <w:bottom w:val="none" w:sz="0" w:space="0" w:color="auto"/>
        <w:right w:val="none" w:sz="0" w:space="0" w:color="auto"/>
      </w:divBdr>
    </w:div>
    <w:div w:id="494538391">
      <w:bodyDiv w:val="1"/>
      <w:marLeft w:val="0"/>
      <w:marRight w:val="0"/>
      <w:marTop w:val="0"/>
      <w:marBottom w:val="0"/>
      <w:divBdr>
        <w:top w:val="none" w:sz="0" w:space="0" w:color="auto"/>
        <w:left w:val="none" w:sz="0" w:space="0" w:color="auto"/>
        <w:bottom w:val="none" w:sz="0" w:space="0" w:color="auto"/>
        <w:right w:val="none" w:sz="0" w:space="0" w:color="auto"/>
      </w:divBdr>
    </w:div>
    <w:div w:id="502401323">
      <w:bodyDiv w:val="1"/>
      <w:marLeft w:val="0"/>
      <w:marRight w:val="0"/>
      <w:marTop w:val="0"/>
      <w:marBottom w:val="0"/>
      <w:divBdr>
        <w:top w:val="none" w:sz="0" w:space="0" w:color="auto"/>
        <w:left w:val="none" w:sz="0" w:space="0" w:color="auto"/>
        <w:bottom w:val="none" w:sz="0" w:space="0" w:color="auto"/>
        <w:right w:val="none" w:sz="0" w:space="0" w:color="auto"/>
      </w:divBdr>
    </w:div>
    <w:div w:id="516119385">
      <w:bodyDiv w:val="1"/>
      <w:marLeft w:val="0"/>
      <w:marRight w:val="0"/>
      <w:marTop w:val="0"/>
      <w:marBottom w:val="0"/>
      <w:divBdr>
        <w:top w:val="none" w:sz="0" w:space="0" w:color="auto"/>
        <w:left w:val="none" w:sz="0" w:space="0" w:color="auto"/>
        <w:bottom w:val="none" w:sz="0" w:space="0" w:color="auto"/>
        <w:right w:val="none" w:sz="0" w:space="0" w:color="auto"/>
      </w:divBdr>
    </w:div>
    <w:div w:id="581990115">
      <w:bodyDiv w:val="1"/>
      <w:marLeft w:val="0"/>
      <w:marRight w:val="0"/>
      <w:marTop w:val="0"/>
      <w:marBottom w:val="0"/>
      <w:divBdr>
        <w:top w:val="none" w:sz="0" w:space="0" w:color="auto"/>
        <w:left w:val="none" w:sz="0" w:space="0" w:color="auto"/>
        <w:bottom w:val="none" w:sz="0" w:space="0" w:color="auto"/>
        <w:right w:val="none" w:sz="0" w:space="0" w:color="auto"/>
      </w:divBdr>
    </w:div>
    <w:div w:id="637607686">
      <w:bodyDiv w:val="1"/>
      <w:marLeft w:val="0"/>
      <w:marRight w:val="0"/>
      <w:marTop w:val="0"/>
      <w:marBottom w:val="0"/>
      <w:divBdr>
        <w:top w:val="none" w:sz="0" w:space="0" w:color="auto"/>
        <w:left w:val="none" w:sz="0" w:space="0" w:color="auto"/>
        <w:bottom w:val="none" w:sz="0" w:space="0" w:color="auto"/>
        <w:right w:val="none" w:sz="0" w:space="0" w:color="auto"/>
      </w:divBdr>
    </w:div>
    <w:div w:id="723523276">
      <w:bodyDiv w:val="1"/>
      <w:marLeft w:val="0"/>
      <w:marRight w:val="0"/>
      <w:marTop w:val="0"/>
      <w:marBottom w:val="0"/>
      <w:divBdr>
        <w:top w:val="none" w:sz="0" w:space="0" w:color="auto"/>
        <w:left w:val="none" w:sz="0" w:space="0" w:color="auto"/>
        <w:bottom w:val="none" w:sz="0" w:space="0" w:color="auto"/>
        <w:right w:val="none" w:sz="0" w:space="0" w:color="auto"/>
      </w:divBdr>
    </w:div>
    <w:div w:id="787358444">
      <w:bodyDiv w:val="1"/>
      <w:marLeft w:val="0"/>
      <w:marRight w:val="0"/>
      <w:marTop w:val="0"/>
      <w:marBottom w:val="0"/>
      <w:divBdr>
        <w:top w:val="none" w:sz="0" w:space="0" w:color="auto"/>
        <w:left w:val="none" w:sz="0" w:space="0" w:color="auto"/>
        <w:bottom w:val="none" w:sz="0" w:space="0" w:color="auto"/>
        <w:right w:val="none" w:sz="0" w:space="0" w:color="auto"/>
      </w:divBdr>
    </w:div>
    <w:div w:id="852261979">
      <w:bodyDiv w:val="1"/>
      <w:marLeft w:val="0"/>
      <w:marRight w:val="0"/>
      <w:marTop w:val="0"/>
      <w:marBottom w:val="0"/>
      <w:divBdr>
        <w:top w:val="none" w:sz="0" w:space="0" w:color="auto"/>
        <w:left w:val="none" w:sz="0" w:space="0" w:color="auto"/>
        <w:bottom w:val="none" w:sz="0" w:space="0" w:color="auto"/>
        <w:right w:val="none" w:sz="0" w:space="0" w:color="auto"/>
      </w:divBdr>
    </w:div>
    <w:div w:id="860822507">
      <w:bodyDiv w:val="1"/>
      <w:marLeft w:val="0"/>
      <w:marRight w:val="0"/>
      <w:marTop w:val="0"/>
      <w:marBottom w:val="0"/>
      <w:divBdr>
        <w:top w:val="none" w:sz="0" w:space="0" w:color="auto"/>
        <w:left w:val="none" w:sz="0" w:space="0" w:color="auto"/>
        <w:bottom w:val="none" w:sz="0" w:space="0" w:color="auto"/>
        <w:right w:val="none" w:sz="0" w:space="0" w:color="auto"/>
      </w:divBdr>
    </w:div>
    <w:div w:id="883639843">
      <w:bodyDiv w:val="1"/>
      <w:marLeft w:val="0"/>
      <w:marRight w:val="0"/>
      <w:marTop w:val="0"/>
      <w:marBottom w:val="0"/>
      <w:divBdr>
        <w:top w:val="none" w:sz="0" w:space="0" w:color="auto"/>
        <w:left w:val="none" w:sz="0" w:space="0" w:color="auto"/>
        <w:bottom w:val="none" w:sz="0" w:space="0" w:color="auto"/>
        <w:right w:val="none" w:sz="0" w:space="0" w:color="auto"/>
      </w:divBdr>
    </w:div>
    <w:div w:id="936207058">
      <w:bodyDiv w:val="1"/>
      <w:marLeft w:val="0"/>
      <w:marRight w:val="0"/>
      <w:marTop w:val="0"/>
      <w:marBottom w:val="0"/>
      <w:divBdr>
        <w:top w:val="none" w:sz="0" w:space="0" w:color="auto"/>
        <w:left w:val="none" w:sz="0" w:space="0" w:color="auto"/>
        <w:bottom w:val="none" w:sz="0" w:space="0" w:color="auto"/>
        <w:right w:val="none" w:sz="0" w:space="0" w:color="auto"/>
      </w:divBdr>
    </w:div>
    <w:div w:id="1029454995">
      <w:bodyDiv w:val="1"/>
      <w:marLeft w:val="0"/>
      <w:marRight w:val="0"/>
      <w:marTop w:val="0"/>
      <w:marBottom w:val="0"/>
      <w:divBdr>
        <w:top w:val="none" w:sz="0" w:space="0" w:color="auto"/>
        <w:left w:val="none" w:sz="0" w:space="0" w:color="auto"/>
        <w:bottom w:val="none" w:sz="0" w:space="0" w:color="auto"/>
        <w:right w:val="none" w:sz="0" w:space="0" w:color="auto"/>
      </w:divBdr>
    </w:div>
    <w:div w:id="1106077229">
      <w:bodyDiv w:val="1"/>
      <w:marLeft w:val="0"/>
      <w:marRight w:val="0"/>
      <w:marTop w:val="0"/>
      <w:marBottom w:val="0"/>
      <w:divBdr>
        <w:top w:val="none" w:sz="0" w:space="0" w:color="auto"/>
        <w:left w:val="none" w:sz="0" w:space="0" w:color="auto"/>
        <w:bottom w:val="none" w:sz="0" w:space="0" w:color="auto"/>
        <w:right w:val="none" w:sz="0" w:space="0" w:color="auto"/>
      </w:divBdr>
    </w:div>
    <w:div w:id="1171336515">
      <w:bodyDiv w:val="1"/>
      <w:marLeft w:val="0"/>
      <w:marRight w:val="0"/>
      <w:marTop w:val="0"/>
      <w:marBottom w:val="0"/>
      <w:divBdr>
        <w:top w:val="none" w:sz="0" w:space="0" w:color="auto"/>
        <w:left w:val="none" w:sz="0" w:space="0" w:color="auto"/>
        <w:bottom w:val="none" w:sz="0" w:space="0" w:color="auto"/>
        <w:right w:val="none" w:sz="0" w:space="0" w:color="auto"/>
      </w:divBdr>
    </w:div>
    <w:div w:id="1226571963">
      <w:bodyDiv w:val="1"/>
      <w:marLeft w:val="0"/>
      <w:marRight w:val="0"/>
      <w:marTop w:val="0"/>
      <w:marBottom w:val="0"/>
      <w:divBdr>
        <w:top w:val="none" w:sz="0" w:space="0" w:color="auto"/>
        <w:left w:val="none" w:sz="0" w:space="0" w:color="auto"/>
        <w:bottom w:val="none" w:sz="0" w:space="0" w:color="auto"/>
        <w:right w:val="none" w:sz="0" w:space="0" w:color="auto"/>
      </w:divBdr>
    </w:div>
    <w:div w:id="1255212932">
      <w:bodyDiv w:val="1"/>
      <w:marLeft w:val="0"/>
      <w:marRight w:val="0"/>
      <w:marTop w:val="0"/>
      <w:marBottom w:val="0"/>
      <w:divBdr>
        <w:top w:val="none" w:sz="0" w:space="0" w:color="auto"/>
        <w:left w:val="none" w:sz="0" w:space="0" w:color="auto"/>
        <w:bottom w:val="none" w:sz="0" w:space="0" w:color="auto"/>
        <w:right w:val="none" w:sz="0" w:space="0" w:color="auto"/>
      </w:divBdr>
    </w:div>
    <w:div w:id="1316296831">
      <w:bodyDiv w:val="1"/>
      <w:marLeft w:val="0"/>
      <w:marRight w:val="0"/>
      <w:marTop w:val="0"/>
      <w:marBottom w:val="0"/>
      <w:divBdr>
        <w:top w:val="none" w:sz="0" w:space="0" w:color="auto"/>
        <w:left w:val="none" w:sz="0" w:space="0" w:color="auto"/>
        <w:bottom w:val="none" w:sz="0" w:space="0" w:color="auto"/>
        <w:right w:val="none" w:sz="0" w:space="0" w:color="auto"/>
      </w:divBdr>
    </w:div>
    <w:div w:id="1322468327">
      <w:bodyDiv w:val="1"/>
      <w:marLeft w:val="0"/>
      <w:marRight w:val="0"/>
      <w:marTop w:val="0"/>
      <w:marBottom w:val="0"/>
      <w:divBdr>
        <w:top w:val="none" w:sz="0" w:space="0" w:color="auto"/>
        <w:left w:val="none" w:sz="0" w:space="0" w:color="auto"/>
        <w:bottom w:val="none" w:sz="0" w:space="0" w:color="auto"/>
        <w:right w:val="none" w:sz="0" w:space="0" w:color="auto"/>
      </w:divBdr>
    </w:div>
    <w:div w:id="1340422562">
      <w:bodyDiv w:val="1"/>
      <w:marLeft w:val="0"/>
      <w:marRight w:val="0"/>
      <w:marTop w:val="0"/>
      <w:marBottom w:val="0"/>
      <w:divBdr>
        <w:top w:val="none" w:sz="0" w:space="0" w:color="auto"/>
        <w:left w:val="none" w:sz="0" w:space="0" w:color="auto"/>
        <w:bottom w:val="none" w:sz="0" w:space="0" w:color="auto"/>
        <w:right w:val="none" w:sz="0" w:space="0" w:color="auto"/>
      </w:divBdr>
    </w:div>
    <w:div w:id="1455320554">
      <w:bodyDiv w:val="1"/>
      <w:marLeft w:val="0"/>
      <w:marRight w:val="0"/>
      <w:marTop w:val="0"/>
      <w:marBottom w:val="0"/>
      <w:divBdr>
        <w:top w:val="none" w:sz="0" w:space="0" w:color="auto"/>
        <w:left w:val="none" w:sz="0" w:space="0" w:color="auto"/>
        <w:bottom w:val="none" w:sz="0" w:space="0" w:color="auto"/>
        <w:right w:val="none" w:sz="0" w:space="0" w:color="auto"/>
      </w:divBdr>
    </w:div>
    <w:div w:id="1479691906">
      <w:bodyDiv w:val="1"/>
      <w:marLeft w:val="0"/>
      <w:marRight w:val="0"/>
      <w:marTop w:val="0"/>
      <w:marBottom w:val="0"/>
      <w:divBdr>
        <w:top w:val="none" w:sz="0" w:space="0" w:color="auto"/>
        <w:left w:val="none" w:sz="0" w:space="0" w:color="auto"/>
        <w:bottom w:val="none" w:sz="0" w:space="0" w:color="auto"/>
        <w:right w:val="none" w:sz="0" w:space="0" w:color="auto"/>
      </w:divBdr>
    </w:div>
    <w:div w:id="1554846405">
      <w:bodyDiv w:val="1"/>
      <w:marLeft w:val="0"/>
      <w:marRight w:val="0"/>
      <w:marTop w:val="0"/>
      <w:marBottom w:val="0"/>
      <w:divBdr>
        <w:top w:val="none" w:sz="0" w:space="0" w:color="auto"/>
        <w:left w:val="none" w:sz="0" w:space="0" w:color="auto"/>
        <w:bottom w:val="none" w:sz="0" w:space="0" w:color="auto"/>
        <w:right w:val="none" w:sz="0" w:space="0" w:color="auto"/>
      </w:divBdr>
    </w:div>
    <w:div w:id="1625037913">
      <w:bodyDiv w:val="1"/>
      <w:marLeft w:val="0"/>
      <w:marRight w:val="0"/>
      <w:marTop w:val="0"/>
      <w:marBottom w:val="0"/>
      <w:divBdr>
        <w:top w:val="none" w:sz="0" w:space="0" w:color="auto"/>
        <w:left w:val="none" w:sz="0" w:space="0" w:color="auto"/>
        <w:bottom w:val="none" w:sz="0" w:space="0" w:color="auto"/>
        <w:right w:val="none" w:sz="0" w:space="0" w:color="auto"/>
      </w:divBdr>
    </w:div>
    <w:div w:id="1685281678">
      <w:bodyDiv w:val="1"/>
      <w:marLeft w:val="0"/>
      <w:marRight w:val="0"/>
      <w:marTop w:val="0"/>
      <w:marBottom w:val="0"/>
      <w:divBdr>
        <w:top w:val="none" w:sz="0" w:space="0" w:color="auto"/>
        <w:left w:val="none" w:sz="0" w:space="0" w:color="auto"/>
        <w:bottom w:val="none" w:sz="0" w:space="0" w:color="auto"/>
        <w:right w:val="none" w:sz="0" w:space="0" w:color="auto"/>
      </w:divBdr>
    </w:div>
    <w:div w:id="1724522333">
      <w:bodyDiv w:val="1"/>
      <w:marLeft w:val="0"/>
      <w:marRight w:val="0"/>
      <w:marTop w:val="0"/>
      <w:marBottom w:val="0"/>
      <w:divBdr>
        <w:top w:val="none" w:sz="0" w:space="0" w:color="auto"/>
        <w:left w:val="none" w:sz="0" w:space="0" w:color="auto"/>
        <w:bottom w:val="none" w:sz="0" w:space="0" w:color="auto"/>
        <w:right w:val="none" w:sz="0" w:space="0" w:color="auto"/>
      </w:divBdr>
    </w:div>
    <w:div w:id="1765683215">
      <w:bodyDiv w:val="1"/>
      <w:marLeft w:val="0"/>
      <w:marRight w:val="0"/>
      <w:marTop w:val="0"/>
      <w:marBottom w:val="0"/>
      <w:divBdr>
        <w:top w:val="none" w:sz="0" w:space="0" w:color="auto"/>
        <w:left w:val="none" w:sz="0" w:space="0" w:color="auto"/>
        <w:bottom w:val="none" w:sz="0" w:space="0" w:color="auto"/>
        <w:right w:val="none" w:sz="0" w:space="0" w:color="auto"/>
      </w:divBdr>
    </w:div>
    <w:div w:id="1775318147">
      <w:bodyDiv w:val="1"/>
      <w:marLeft w:val="0"/>
      <w:marRight w:val="0"/>
      <w:marTop w:val="0"/>
      <w:marBottom w:val="0"/>
      <w:divBdr>
        <w:top w:val="none" w:sz="0" w:space="0" w:color="auto"/>
        <w:left w:val="none" w:sz="0" w:space="0" w:color="auto"/>
        <w:bottom w:val="none" w:sz="0" w:space="0" w:color="auto"/>
        <w:right w:val="none" w:sz="0" w:space="0" w:color="auto"/>
      </w:divBdr>
    </w:div>
    <w:div w:id="1807703744">
      <w:bodyDiv w:val="1"/>
      <w:marLeft w:val="0"/>
      <w:marRight w:val="0"/>
      <w:marTop w:val="0"/>
      <w:marBottom w:val="0"/>
      <w:divBdr>
        <w:top w:val="none" w:sz="0" w:space="0" w:color="auto"/>
        <w:left w:val="none" w:sz="0" w:space="0" w:color="auto"/>
        <w:bottom w:val="none" w:sz="0" w:space="0" w:color="auto"/>
        <w:right w:val="none" w:sz="0" w:space="0" w:color="auto"/>
      </w:divBdr>
    </w:div>
    <w:div w:id="1814904642">
      <w:bodyDiv w:val="1"/>
      <w:marLeft w:val="0"/>
      <w:marRight w:val="0"/>
      <w:marTop w:val="0"/>
      <w:marBottom w:val="0"/>
      <w:divBdr>
        <w:top w:val="none" w:sz="0" w:space="0" w:color="auto"/>
        <w:left w:val="none" w:sz="0" w:space="0" w:color="auto"/>
        <w:bottom w:val="none" w:sz="0" w:space="0" w:color="auto"/>
        <w:right w:val="none" w:sz="0" w:space="0" w:color="auto"/>
      </w:divBdr>
    </w:div>
    <w:div w:id="1849982754">
      <w:bodyDiv w:val="1"/>
      <w:marLeft w:val="0"/>
      <w:marRight w:val="0"/>
      <w:marTop w:val="0"/>
      <w:marBottom w:val="0"/>
      <w:divBdr>
        <w:top w:val="none" w:sz="0" w:space="0" w:color="auto"/>
        <w:left w:val="none" w:sz="0" w:space="0" w:color="auto"/>
        <w:bottom w:val="none" w:sz="0" w:space="0" w:color="auto"/>
        <w:right w:val="none" w:sz="0" w:space="0" w:color="auto"/>
      </w:divBdr>
    </w:div>
    <w:div w:id="1873764069">
      <w:bodyDiv w:val="1"/>
      <w:marLeft w:val="0"/>
      <w:marRight w:val="0"/>
      <w:marTop w:val="0"/>
      <w:marBottom w:val="0"/>
      <w:divBdr>
        <w:top w:val="none" w:sz="0" w:space="0" w:color="auto"/>
        <w:left w:val="none" w:sz="0" w:space="0" w:color="auto"/>
        <w:bottom w:val="none" w:sz="0" w:space="0" w:color="auto"/>
        <w:right w:val="none" w:sz="0" w:space="0" w:color="auto"/>
      </w:divBdr>
    </w:div>
    <w:div w:id="1970235480">
      <w:bodyDiv w:val="1"/>
      <w:marLeft w:val="0"/>
      <w:marRight w:val="0"/>
      <w:marTop w:val="0"/>
      <w:marBottom w:val="0"/>
      <w:divBdr>
        <w:top w:val="none" w:sz="0" w:space="0" w:color="auto"/>
        <w:left w:val="none" w:sz="0" w:space="0" w:color="auto"/>
        <w:bottom w:val="none" w:sz="0" w:space="0" w:color="auto"/>
        <w:right w:val="none" w:sz="0" w:space="0" w:color="auto"/>
      </w:divBdr>
    </w:div>
    <w:div w:id="21225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12</cp:revision>
  <dcterms:created xsi:type="dcterms:W3CDTF">2020-06-24T03:00:00Z</dcterms:created>
  <dcterms:modified xsi:type="dcterms:W3CDTF">2020-07-24T05:58:00Z</dcterms:modified>
</cp:coreProperties>
</file>